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2E" w:rsidRPr="003830D1" w:rsidRDefault="003830D1" w:rsidP="00622F31">
      <w:pPr>
        <w:bidi/>
        <w:rPr>
          <w:rFonts w:eastAsia="Calibri"/>
          <w:b/>
          <w:bCs/>
          <w:color w:val="1F497D"/>
          <w:sz w:val="28"/>
          <w:szCs w:val="28"/>
          <w:rtl/>
          <w:lang w:bidi="ar-SA"/>
        </w:rPr>
      </w:pPr>
      <w:r>
        <w:rPr>
          <w:rFonts w:ascii="Arial" w:eastAsia="Calibri" w:hAnsi="Arial" w:cs="Arial" w:hint="cs"/>
          <w:b/>
          <w:bCs/>
          <w:color w:val="1F497D"/>
          <w:sz w:val="28"/>
          <w:szCs w:val="28"/>
          <w:rtl/>
          <w:lang w:bidi="ar-SA"/>
        </w:rPr>
        <w:t>تر</w:t>
      </w:r>
      <w:r w:rsidR="00103CE6">
        <w:rPr>
          <w:rFonts w:ascii="Arial" w:eastAsia="Calibri" w:hAnsi="Arial" w:cs="Arial" w:hint="cs"/>
          <w:b/>
          <w:bCs/>
          <w:color w:val="1F497D"/>
          <w:sz w:val="28"/>
          <w:szCs w:val="28"/>
          <w:rtl/>
          <w:lang w:bidi="ar-SA"/>
        </w:rPr>
        <w:t>غ</w:t>
      </w:r>
      <w:r>
        <w:rPr>
          <w:rFonts w:ascii="Arial" w:eastAsia="Calibri" w:hAnsi="Arial" w:cs="Arial" w:hint="cs"/>
          <w:b/>
          <w:bCs/>
          <w:color w:val="1F497D"/>
          <w:sz w:val="28"/>
          <w:szCs w:val="28"/>
          <w:rtl/>
          <w:lang w:bidi="ar-SA"/>
        </w:rPr>
        <w:t xml:space="preserve">ب المؤسسة العامة للغذاء والدواء </w:t>
      </w:r>
      <w:r w:rsidR="00A2513C">
        <w:rPr>
          <w:rFonts w:ascii="Arial" w:eastAsia="Calibri" w:hAnsi="Arial" w:cs="Arial" w:hint="cs"/>
          <w:b/>
          <w:bCs/>
          <w:color w:val="1F497D"/>
          <w:sz w:val="28"/>
          <w:szCs w:val="28"/>
          <w:rtl/>
          <w:lang w:bidi="ar-SA"/>
        </w:rPr>
        <w:t xml:space="preserve">بعمل عقود صيانه </w:t>
      </w:r>
      <w:r w:rsidR="00622F31">
        <w:rPr>
          <w:rFonts w:ascii="Arial" w:eastAsia="Calibri" w:hAnsi="Arial" w:cs="Arial" w:hint="cs"/>
          <w:b/>
          <w:bCs/>
          <w:color w:val="1F497D"/>
          <w:sz w:val="28"/>
          <w:szCs w:val="28"/>
          <w:rtl/>
        </w:rPr>
        <w:t>لما في الجدول التالي</w:t>
      </w:r>
      <w:r w:rsidR="00A2513C">
        <w:rPr>
          <w:rFonts w:ascii="Arial" w:eastAsia="Calibri" w:hAnsi="Arial" w:cs="Arial" w:hint="cs"/>
          <w:b/>
          <w:bCs/>
          <w:color w:val="1F497D"/>
          <w:sz w:val="28"/>
          <w:szCs w:val="28"/>
          <w:rtl/>
          <w:lang w:bidi="ar-SA"/>
        </w:rPr>
        <w:t>:</w:t>
      </w:r>
    </w:p>
    <w:p w:rsidR="003830D1" w:rsidRPr="003830D1" w:rsidRDefault="003830D1" w:rsidP="003830D1">
      <w:pPr>
        <w:bidi/>
        <w:rPr>
          <w:rFonts w:eastAsia="Calibri"/>
          <w:b/>
          <w:bCs/>
          <w:color w:val="1F497D"/>
          <w:sz w:val="22"/>
          <w:szCs w:val="22"/>
          <w:lang w:bidi="ar-SA"/>
        </w:rPr>
      </w:pPr>
    </w:p>
    <w:tbl>
      <w:tblPr>
        <w:tblW w:w="9564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777"/>
        <w:gridCol w:w="810"/>
        <w:gridCol w:w="1284"/>
      </w:tblGrid>
      <w:tr w:rsidR="003830D1" w:rsidRPr="003830D1" w:rsidTr="00575762">
        <w:trPr>
          <w:trHeight w:val="45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D1" w:rsidRPr="003830D1" w:rsidRDefault="003830D1" w:rsidP="006C377E">
            <w:pPr>
              <w:jc w:val="center"/>
              <w:rPr>
                <w:rFonts w:eastAsia="Calibri"/>
                <w:b/>
                <w:bCs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  <w:t>No</w:t>
            </w:r>
            <w:r w:rsidR="00575762"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6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29E" w:rsidRPr="003830D1" w:rsidRDefault="003830D1" w:rsidP="0057576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  <w:t>Item description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D1" w:rsidRPr="003830D1" w:rsidRDefault="003830D1" w:rsidP="006C377E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  <w:t>Qty.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D1" w:rsidRPr="003830D1" w:rsidRDefault="003830D1" w:rsidP="006C377E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  <w:t>Period (months)</w:t>
            </w:r>
          </w:p>
        </w:tc>
      </w:tr>
      <w:tr w:rsidR="003830D1" w:rsidRPr="003830D1" w:rsidTr="006C377E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D1" w:rsidRPr="003830D1" w:rsidRDefault="003830D1" w:rsidP="003830D1">
            <w:pPr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542" w:rsidRPr="00F51AF6" w:rsidRDefault="00F65542" w:rsidP="003830D1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</w:pPr>
            <w:r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 xml:space="preserve">Physical server model: </w:t>
            </w:r>
            <w:r w:rsidRPr="00F51AF6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AFAFA"/>
              </w:rPr>
              <w:t>System x3650 M4</w:t>
            </w:r>
          </w:p>
          <w:p w:rsidR="00F65542" w:rsidRPr="00F51AF6" w:rsidRDefault="00F65542" w:rsidP="003830D1">
            <w:pPr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AFAFA"/>
              </w:rPr>
            </w:pPr>
            <w:r w:rsidRPr="00F51AF6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AFAFA"/>
              </w:rPr>
              <w:t>Hypervisor</w:t>
            </w:r>
            <w:r w:rsidRPr="00F51AF6">
              <w:rPr>
                <w:rFonts w:ascii="Arial" w:hAnsi="Arial" w:cs="Arial" w:hint="cs"/>
                <w:color w:val="000000" w:themeColor="text1"/>
                <w:spacing w:val="2"/>
                <w:sz w:val="20"/>
                <w:szCs w:val="20"/>
                <w:shd w:val="clear" w:color="auto" w:fill="FAFAFA"/>
                <w:rtl/>
              </w:rPr>
              <w:t>:</w:t>
            </w:r>
            <w:r w:rsidRPr="00F51AF6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AFAFA"/>
              </w:rPr>
              <w:t xml:space="preserve"> VMware ESXi, 5.5.0, 3248547</w:t>
            </w:r>
          </w:p>
          <w:p w:rsidR="00F65542" w:rsidRPr="00F51AF6" w:rsidRDefault="00F65542" w:rsidP="006C377E">
            <w:pPr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AFAFA"/>
              </w:rPr>
            </w:pPr>
            <w:r w:rsidRPr="00F51AF6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shd w:val="clear" w:color="auto" w:fill="FAFAFA"/>
              </w:rPr>
              <w:t>Processor Type: Intel(R) Xeon(R) CPU E5-2665 0 @ 2.40GHz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D1" w:rsidRPr="003830D1" w:rsidRDefault="003830D1" w:rsidP="003830D1">
            <w:pPr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D1" w:rsidRPr="003830D1" w:rsidRDefault="003830D1" w:rsidP="003830D1">
            <w:pPr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sz w:val="22"/>
                <w:szCs w:val="22"/>
                <w:lang w:bidi="ar-SA"/>
              </w:rPr>
              <w:t>12</w:t>
            </w:r>
          </w:p>
        </w:tc>
      </w:tr>
      <w:tr w:rsidR="003830D1" w:rsidRPr="003830D1" w:rsidTr="006C377E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D1" w:rsidRPr="003830D1" w:rsidRDefault="003830D1" w:rsidP="005A19DD">
            <w:pPr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D1" w:rsidRPr="00F51AF6" w:rsidRDefault="003830D1" w:rsidP="006C377E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</w:pPr>
            <w:r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>IBM V7000 STORAGE</w:t>
            </w:r>
            <w:r w:rsidRPr="00F51AF6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 </w:t>
            </w:r>
            <w:r w:rsidR="006C377E"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>with IBM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D1" w:rsidRPr="003830D1" w:rsidRDefault="003830D1" w:rsidP="005A19DD">
            <w:pPr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D1" w:rsidRPr="003830D1" w:rsidRDefault="003830D1" w:rsidP="005A19DD">
            <w:pPr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830D1">
              <w:rPr>
                <w:rFonts w:ascii="Calibri" w:eastAsia="Calibri" w:hAnsi="Calibri"/>
                <w:sz w:val="22"/>
                <w:szCs w:val="22"/>
                <w:lang w:bidi="ar-SA"/>
              </w:rPr>
              <w:t>12</w:t>
            </w:r>
          </w:p>
        </w:tc>
      </w:tr>
      <w:tr w:rsidR="003830D1" w:rsidRPr="003830D1" w:rsidTr="006C377E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D1" w:rsidRPr="003830D1" w:rsidRDefault="003830D1" w:rsidP="003830D1">
            <w:pPr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D1" w:rsidRPr="00F51AF6" w:rsidRDefault="00A2513C" w:rsidP="00D770FF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</w:pPr>
            <w:r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>Produc</w:t>
            </w:r>
            <w:r w:rsidR="00D770FF"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>tion support coverage  VMware vCenter</w:t>
            </w:r>
            <w:r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 xml:space="preserve"> + VSphere </w:t>
            </w:r>
            <w:r w:rsidR="00D770FF" w:rsidRPr="00F51AF6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ar-SA"/>
              </w:rPr>
              <w:t>6</w:t>
            </w:r>
            <w:r w:rsidR="00932CCF"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>.5</w:t>
            </w:r>
            <w:r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 xml:space="preserve"> Enterprise  (6 proce</w:t>
            </w:r>
            <w:r w:rsidR="00897501"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>ssor</w:t>
            </w:r>
            <w:r w:rsidRPr="00F51AF6">
              <w:rPr>
                <w:rFonts w:ascii="Calibri" w:eastAsia="Calibri" w:hAnsi="Calibri"/>
                <w:color w:val="000000" w:themeColor="text1"/>
                <w:sz w:val="22"/>
                <w:szCs w:val="22"/>
                <w:lang w:bidi="ar-SA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D1" w:rsidRPr="003830D1" w:rsidRDefault="00A2513C" w:rsidP="003830D1">
            <w:pPr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0D1" w:rsidRPr="003830D1" w:rsidRDefault="003830D1" w:rsidP="003830D1">
            <w:pPr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/>
                <w:sz w:val="22"/>
                <w:szCs w:val="22"/>
                <w:lang w:bidi="ar-SA"/>
              </w:rPr>
              <w:t>12</w:t>
            </w:r>
          </w:p>
        </w:tc>
      </w:tr>
    </w:tbl>
    <w:p w:rsidR="003830D1" w:rsidRPr="003830D1" w:rsidRDefault="003830D1" w:rsidP="003830D1">
      <w:pPr>
        <w:bidi/>
        <w:rPr>
          <w:rFonts w:eastAsia="Calibri"/>
          <w:b/>
          <w:bCs/>
          <w:color w:val="1F497D"/>
          <w:sz w:val="22"/>
          <w:szCs w:val="22"/>
          <w:lang w:bidi="ar-SA"/>
        </w:rPr>
      </w:pPr>
    </w:p>
    <w:p w:rsidR="006C377E" w:rsidRPr="006C377E" w:rsidRDefault="006C377E" w:rsidP="006C377E">
      <w:pPr>
        <w:bidi/>
        <w:rPr>
          <w:sz w:val="28"/>
          <w:szCs w:val="28"/>
        </w:rPr>
      </w:pPr>
      <w:r w:rsidRPr="006C377E">
        <w:rPr>
          <w:rFonts w:hint="cs"/>
          <w:sz w:val="28"/>
          <w:szCs w:val="28"/>
          <w:rtl/>
        </w:rPr>
        <w:t xml:space="preserve">عقد الصيانة يتضمن كلا الجزئين </w:t>
      </w:r>
      <w:r w:rsidRPr="006C377E">
        <w:rPr>
          <w:sz w:val="28"/>
          <w:szCs w:val="28"/>
        </w:rPr>
        <w:t>Hardware / Software</w:t>
      </w:r>
    </w:p>
    <w:p w:rsidR="003830D1" w:rsidRPr="006C377E" w:rsidRDefault="003830D1" w:rsidP="00B34EF0">
      <w:pPr>
        <w:bidi/>
        <w:rPr>
          <w:sz w:val="28"/>
          <w:szCs w:val="28"/>
        </w:rPr>
      </w:pPr>
    </w:p>
    <w:p w:rsidR="003830D1" w:rsidRDefault="003830D1" w:rsidP="003830D1">
      <w:pPr>
        <w:bidi/>
        <w:rPr>
          <w:sz w:val="28"/>
          <w:szCs w:val="28"/>
        </w:rPr>
      </w:pPr>
    </w:p>
    <w:p w:rsidR="00C0595C" w:rsidRDefault="0084218E" w:rsidP="00C0595C">
      <w:pPr>
        <w:bidi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الشروط الخاصة </w:t>
      </w:r>
      <w:r w:rsidR="007549ED">
        <w:rPr>
          <w:rFonts w:hint="cs"/>
          <w:b/>
          <w:bCs/>
          <w:sz w:val="28"/>
          <w:szCs w:val="28"/>
          <w:rtl/>
        </w:rPr>
        <w:t>:</w:t>
      </w:r>
      <w:r w:rsidRPr="007549ED">
        <w:rPr>
          <w:b/>
          <w:bCs/>
          <w:sz w:val="28"/>
          <w:szCs w:val="28"/>
        </w:rPr>
        <w:t xml:space="preserve"> </w:t>
      </w:r>
    </w:p>
    <w:p w:rsidR="00EC63D8" w:rsidRDefault="00EC63D8" w:rsidP="00EC63D8">
      <w:pPr>
        <w:bidi/>
        <w:rPr>
          <w:b/>
          <w:bCs/>
          <w:sz w:val="28"/>
          <w:szCs w:val="28"/>
        </w:rPr>
      </w:pPr>
    </w:p>
    <w:p w:rsidR="00F51AF6" w:rsidRDefault="001F1FF8" w:rsidP="00332FAD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F51AF6">
        <w:rPr>
          <w:rFonts w:hint="cs"/>
          <w:sz w:val="28"/>
          <w:szCs w:val="28"/>
          <w:rtl/>
        </w:rPr>
        <w:t>ت</w:t>
      </w:r>
      <w:r w:rsidR="00612E8C" w:rsidRPr="00F51AF6">
        <w:rPr>
          <w:rFonts w:hint="cs"/>
          <w:sz w:val="28"/>
          <w:szCs w:val="28"/>
          <w:rtl/>
        </w:rPr>
        <w:t xml:space="preserve">لتزم </w:t>
      </w:r>
      <w:r w:rsidRPr="00F51AF6">
        <w:rPr>
          <w:rFonts w:hint="cs"/>
          <w:sz w:val="28"/>
          <w:szCs w:val="28"/>
          <w:rtl/>
        </w:rPr>
        <w:t>الشركة المحال عليها</w:t>
      </w:r>
      <w:r w:rsidR="00612E8C" w:rsidRPr="00F51AF6">
        <w:rPr>
          <w:rFonts w:hint="cs"/>
          <w:sz w:val="28"/>
          <w:szCs w:val="28"/>
          <w:rtl/>
        </w:rPr>
        <w:t xml:space="preserve"> بتوفير الموظفين المدربين لتنفيذ جميع أعمال الصيانة لكافة ا</w:t>
      </w:r>
      <w:r w:rsidR="001C7603">
        <w:rPr>
          <w:rFonts w:hint="cs"/>
          <w:sz w:val="28"/>
          <w:szCs w:val="28"/>
          <w:rtl/>
        </w:rPr>
        <w:t>لأجهزة المدرجة في الجدول المرفق</w:t>
      </w:r>
      <w:r w:rsidR="001C7603">
        <w:rPr>
          <w:sz w:val="28"/>
          <w:szCs w:val="28"/>
        </w:rPr>
        <w:t xml:space="preserve"> </w:t>
      </w:r>
      <w:r w:rsidR="001C7603">
        <w:rPr>
          <w:rFonts w:hint="cs"/>
          <w:sz w:val="28"/>
          <w:szCs w:val="28"/>
          <w:rtl/>
        </w:rPr>
        <w:t>.</w:t>
      </w:r>
    </w:p>
    <w:p w:rsidR="00F51AF6" w:rsidRDefault="00F51AF6" w:rsidP="00F51AF6">
      <w:pPr>
        <w:pStyle w:val="ListParagraph"/>
        <w:bidi/>
        <w:spacing w:line="276" w:lineRule="auto"/>
        <w:ind w:left="360"/>
        <w:jc w:val="both"/>
        <w:rPr>
          <w:sz w:val="28"/>
          <w:szCs w:val="28"/>
        </w:rPr>
      </w:pPr>
    </w:p>
    <w:p w:rsidR="00F51AF6" w:rsidRDefault="001F1FF8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F51AF6">
        <w:rPr>
          <w:sz w:val="28"/>
          <w:szCs w:val="28"/>
          <w:rtl/>
        </w:rPr>
        <w:t xml:space="preserve">تلتزم الشركة المحال عليها </w:t>
      </w:r>
      <w:r w:rsidR="001C7603">
        <w:rPr>
          <w:rFonts w:hint="cs"/>
          <w:sz w:val="28"/>
          <w:szCs w:val="28"/>
          <w:rtl/>
        </w:rPr>
        <w:t xml:space="preserve">بتوفير جميع قطع الغيار </w:t>
      </w:r>
      <w:r w:rsidR="00612E8C" w:rsidRPr="00F51AF6">
        <w:rPr>
          <w:rFonts w:hint="cs"/>
          <w:sz w:val="28"/>
          <w:szCs w:val="28"/>
          <w:rtl/>
        </w:rPr>
        <w:t>والمواد الضرورية لأعمال صيانة الأجهزة، ويكون ا</w:t>
      </w:r>
      <w:r w:rsidR="00143063" w:rsidRPr="00F51AF6">
        <w:rPr>
          <w:rFonts w:hint="cs"/>
          <w:sz w:val="28"/>
          <w:szCs w:val="28"/>
          <w:rtl/>
        </w:rPr>
        <w:t>ستبدال الأجهزة التالفة على نفقة الشركة المحال عليها</w:t>
      </w:r>
      <w:r w:rsidR="00612E8C" w:rsidRPr="00F51AF6">
        <w:rPr>
          <w:rFonts w:hint="cs"/>
          <w:sz w:val="28"/>
          <w:szCs w:val="28"/>
          <w:rtl/>
        </w:rPr>
        <w:t>.</w:t>
      </w:r>
    </w:p>
    <w:p w:rsidR="001C7603" w:rsidRPr="001C7603" w:rsidRDefault="001C7603" w:rsidP="001C7603">
      <w:pPr>
        <w:pStyle w:val="ListParagraph"/>
        <w:rPr>
          <w:rFonts w:hint="cs"/>
          <w:sz w:val="28"/>
          <w:szCs w:val="28"/>
          <w:rtl/>
        </w:rPr>
      </w:pPr>
    </w:p>
    <w:p w:rsidR="001C7603" w:rsidRDefault="001C7603" w:rsidP="001C7603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يكون عقد الصيانة شاملا جميع أعمال الصيانة وقطع الغيار.</w:t>
      </w:r>
    </w:p>
    <w:p w:rsidR="001C7603" w:rsidRPr="001C7603" w:rsidRDefault="001C7603" w:rsidP="001C7603">
      <w:pPr>
        <w:pStyle w:val="ListParagraph"/>
        <w:rPr>
          <w:rFonts w:hint="cs"/>
          <w:sz w:val="28"/>
          <w:szCs w:val="28"/>
          <w:rtl/>
        </w:rPr>
      </w:pPr>
    </w:p>
    <w:p w:rsidR="001C7603" w:rsidRDefault="001C7603" w:rsidP="001C7603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طريق الدفع:</w:t>
      </w:r>
    </w:p>
    <w:p w:rsidR="001C7603" w:rsidRPr="001C7603" w:rsidRDefault="001C7603" w:rsidP="001C7603">
      <w:pPr>
        <w:pStyle w:val="ListParagraph"/>
        <w:rPr>
          <w:rFonts w:hint="cs"/>
          <w:sz w:val="28"/>
          <w:szCs w:val="28"/>
          <w:rtl/>
        </w:rPr>
      </w:pPr>
    </w:p>
    <w:p w:rsidR="001C7603" w:rsidRPr="00084910" w:rsidRDefault="001C7603" w:rsidP="001C7603">
      <w:pPr>
        <w:pStyle w:val="ListParagraph"/>
        <w:numPr>
          <w:ilvl w:val="0"/>
          <w:numId w:val="7"/>
        </w:numPr>
        <w:bidi/>
        <w:spacing w:after="200" w:line="276" w:lineRule="auto"/>
        <w:jc w:val="lowKashida"/>
        <w:rPr>
          <w:rFonts w:ascii="Arial" w:hAnsi="Arial" w:cs="Arial"/>
        </w:rPr>
      </w:pPr>
      <w:r w:rsidRPr="00084910">
        <w:rPr>
          <w:rFonts w:ascii="Arial" w:hAnsi="Arial" w:cs="Arial"/>
          <w:rtl/>
        </w:rPr>
        <w:t xml:space="preserve">الدفعة الاولى : 50% من قيمة </w:t>
      </w:r>
      <w:r>
        <w:rPr>
          <w:rFonts w:ascii="Arial" w:hAnsi="Arial" w:cs="Arial" w:hint="cs"/>
          <w:rtl/>
        </w:rPr>
        <w:t>العقد</w:t>
      </w:r>
      <w:r w:rsidRPr="00084910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بعد 6 أشهر من تاريخ توقيع العقد.</w:t>
      </w:r>
    </w:p>
    <w:p w:rsidR="001C7603" w:rsidRPr="00084910" w:rsidRDefault="001C7603" w:rsidP="001C7603">
      <w:pPr>
        <w:pStyle w:val="ListParagraph"/>
        <w:numPr>
          <w:ilvl w:val="0"/>
          <w:numId w:val="7"/>
        </w:numPr>
        <w:bidi/>
        <w:spacing w:after="200" w:line="276" w:lineRule="auto"/>
        <w:jc w:val="lowKashida"/>
        <w:rPr>
          <w:rFonts w:ascii="Arial" w:hAnsi="Arial" w:cs="Arial"/>
        </w:rPr>
      </w:pPr>
      <w:r w:rsidRPr="00084910">
        <w:rPr>
          <w:rFonts w:ascii="Arial" w:hAnsi="Arial" w:cs="Arial"/>
          <w:rtl/>
        </w:rPr>
        <w:t xml:space="preserve">الدفعة الثانية : 50 % من </w:t>
      </w:r>
      <w:r>
        <w:rPr>
          <w:rFonts w:ascii="Arial" w:hAnsi="Arial" w:cs="Arial" w:hint="cs"/>
          <w:rtl/>
        </w:rPr>
        <w:t>قيمة</w:t>
      </w:r>
      <w:r w:rsidRPr="00084910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العقد</w:t>
      </w:r>
      <w:r w:rsidRPr="00084910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عند نهايته.</w:t>
      </w:r>
    </w:p>
    <w:p w:rsidR="00F51AF6" w:rsidRPr="001C7603" w:rsidRDefault="00F51AF6" w:rsidP="001C7603">
      <w:pPr>
        <w:pStyle w:val="ListParagraph"/>
        <w:bidi/>
        <w:spacing w:line="276" w:lineRule="auto"/>
        <w:ind w:left="1440"/>
        <w:jc w:val="both"/>
        <w:rPr>
          <w:sz w:val="28"/>
          <w:szCs w:val="28"/>
          <w:rtl/>
        </w:rPr>
      </w:pPr>
    </w:p>
    <w:p w:rsidR="00F65542" w:rsidRDefault="00F65542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1F1FF8">
        <w:rPr>
          <w:sz w:val="28"/>
          <w:szCs w:val="28"/>
          <w:rtl/>
        </w:rPr>
        <w:t xml:space="preserve">تلتزم الشركة المحال عليها </w:t>
      </w:r>
      <w:r w:rsidRPr="009D0709">
        <w:rPr>
          <w:rFonts w:hint="cs"/>
          <w:sz w:val="28"/>
          <w:szCs w:val="28"/>
          <w:rtl/>
        </w:rPr>
        <w:t>بتوفير</w:t>
      </w:r>
      <w:r>
        <w:rPr>
          <w:rFonts w:hint="cs"/>
          <w:sz w:val="28"/>
          <w:szCs w:val="28"/>
          <w:rtl/>
        </w:rPr>
        <w:t xml:space="preserve"> أو تجديد</w:t>
      </w:r>
      <w:r w:rsidRPr="009D0709">
        <w:rPr>
          <w:rFonts w:hint="cs"/>
          <w:sz w:val="28"/>
          <w:szCs w:val="28"/>
          <w:rtl/>
        </w:rPr>
        <w:t xml:space="preserve"> جميع </w:t>
      </w:r>
      <w:r>
        <w:rPr>
          <w:rFonts w:hint="cs"/>
          <w:sz w:val="28"/>
          <w:szCs w:val="28"/>
          <w:rtl/>
        </w:rPr>
        <w:t xml:space="preserve">التراخيص اللازمة للبرمجيات وأنظمة التشغيل </w:t>
      </w:r>
      <w:r w:rsidR="00575762">
        <w:rPr>
          <w:rFonts w:hint="cs"/>
          <w:sz w:val="28"/>
          <w:szCs w:val="28"/>
          <w:rtl/>
        </w:rPr>
        <w:t>اللازمة لعمل الأجهزة والبرمجيات المذكورة في الجدول أعلاه وذلك</w:t>
      </w:r>
      <w:r>
        <w:rPr>
          <w:rFonts w:hint="cs"/>
          <w:sz w:val="28"/>
          <w:szCs w:val="28"/>
          <w:rtl/>
        </w:rPr>
        <w:t xml:space="preserve"> في حال انتهائها أو إن دعت الحاجة لذلك</w:t>
      </w:r>
      <w:r w:rsidRPr="009D0709">
        <w:rPr>
          <w:rFonts w:hint="cs"/>
          <w:sz w:val="28"/>
          <w:szCs w:val="28"/>
          <w:rtl/>
        </w:rPr>
        <w:t>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C0595C" w:rsidRDefault="0034597A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34597A">
        <w:rPr>
          <w:sz w:val="28"/>
          <w:szCs w:val="28"/>
          <w:rtl/>
        </w:rPr>
        <w:t>تتم الأعمال  على  الأجهزة خلال ساعات العمل الرسمي</w:t>
      </w:r>
      <w:r w:rsidR="00575762">
        <w:rPr>
          <w:rFonts w:hint="cs"/>
          <w:sz w:val="28"/>
          <w:szCs w:val="28"/>
          <w:rtl/>
        </w:rPr>
        <w:t>، أ</w:t>
      </w:r>
      <w:r w:rsidRPr="0034597A">
        <w:rPr>
          <w:sz w:val="28"/>
          <w:szCs w:val="28"/>
          <w:rtl/>
        </w:rPr>
        <w:t>و خارج ساعات العمل الرسمي في حالات الطوارىء في موقع المؤسسة العامة للغذاء و الدواء.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34597A" w:rsidRDefault="00C0595C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C0595C">
        <w:rPr>
          <w:rFonts w:hint="cs"/>
          <w:sz w:val="28"/>
          <w:szCs w:val="28"/>
          <w:rtl/>
        </w:rPr>
        <w:lastRenderedPageBreak/>
        <w:t xml:space="preserve">في حالة عدم إتمام عملية صيانة إصلاح الأجهزة خلال فترة الدوام الرسمي فعند ذلك يحق لمستخدمي </w:t>
      </w:r>
      <w:r w:rsidRPr="00C0595C">
        <w:rPr>
          <w:sz w:val="28"/>
          <w:szCs w:val="28"/>
          <w:rtl/>
        </w:rPr>
        <w:t xml:space="preserve">الشركة المحال عليها </w:t>
      </w:r>
      <w:r w:rsidRPr="00C0595C">
        <w:rPr>
          <w:rFonts w:hint="cs"/>
          <w:sz w:val="28"/>
          <w:szCs w:val="28"/>
          <w:rtl/>
        </w:rPr>
        <w:t>الاستمرار في عملهم لدى المؤسسة خارج إطار الدوام الرسمي للمؤسسة وذلك بعد موافقة المؤسسة العامة للغذاء و الدواء.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612E8C" w:rsidRDefault="00612E8C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9D0709">
        <w:rPr>
          <w:rFonts w:hint="cs"/>
          <w:sz w:val="28"/>
          <w:szCs w:val="28"/>
          <w:rtl/>
        </w:rPr>
        <w:t xml:space="preserve">عند حدوث أي عطل أو خلل في أي من الأجهزة المشمولة باتفاقية الصيانة، </w:t>
      </w:r>
      <w:r w:rsidR="001F1FF8" w:rsidRPr="001F1FF8">
        <w:rPr>
          <w:sz w:val="28"/>
          <w:szCs w:val="28"/>
          <w:rtl/>
        </w:rPr>
        <w:t xml:space="preserve">تلتزم الشركة المحال عليها </w:t>
      </w:r>
      <w:r w:rsidRPr="009D0709">
        <w:rPr>
          <w:rFonts w:hint="cs"/>
          <w:sz w:val="28"/>
          <w:szCs w:val="28"/>
          <w:rtl/>
        </w:rPr>
        <w:t xml:space="preserve">بالاستجابة وتلبية طلبات الصيانة والدعم الفني خلال مدة أقصاها (4) ساعة من لحظة إبلاغ </w:t>
      </w:r>
      <w:r w:rsidR="001F1FF8">
        <w:rPr>
          <w:rFonts w:hint="cs"/>
          <w:sz w:val="28"/>
          <w:szCs w:val="28"/>
          <w:rtl/>
        </w:rPr>
        <w:t>المؤسسة</w:t>
      </w:r>
      <w:r w:rsidR="00143063">
        <w:rPr>
          <w:rFonts w:hint="cs"/>
          <w:sz w:val="28"/>
          <w:szCs w:val="28"/>
          <w:rtl/>
        </w:rPr>
        <w:t xml:space="preserve"> العامة للغذاء و الدواء </w:t>
      </w:r>
      <w:r w:rsidR="001F1FF8">
        <w:rPr>
          <w:rFonts w:hint="cs"/>
          <w:sz w:val="28"/>
          <w:szCs w:val="28"/>
          <w:rtl/>
        </w:rPr>
        <w:t xml:space="preserve"> ل</w:t>
      </w:r>
      <w:r w:rsidR="001F1FF8" w:rsidRPr="001F1FF8">
        <w:rPr>
          <w:sz w:val="28"/>
          <w:szCs w:val="28"/>
          <w:rtl/>
        </w:rPr>
        <w:t>لشركة المحال عليها</w:t>
      </w:r>
      <w:r w:rsidRPr="009D0709">
        <w:rPr>
          <w:rFonts w:hint="cs"/>
          <w:sz w:val="28"/>
          <w:szCs w:val="28"/>
          <w:rtl/>
        </w:rPr>
        <w:t xml:space="preserve"> عن العطل أو الخلل.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EC63D8" w:rsidRDefault="0028550F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EC63D8">
        <w:rPr>
          <w:sz w:val="28"/>
          <w:szCs w:val="28"/>
          <w:rtl/>
        </w:rPr>
        <w:t xml:space="preserve">تلتزم الشركة المحال عليها </w:t>
      </w:r>
      <w:r w:rsidR="00612E8C" w:rsidRPr="00EC63D8">
        <w:rPr>
          <w:rFonts w:hint="cs"/>
          <w:sz w:val="28"/>
          <w:szCs w:val="28"/>
          <w:rtl/>
        </w:rPr>
        <w:t>بإصلاح الخلل والأعطال خل</w:t>
      </w:r>
      <w:r w:rsidR="0049429E" w:rsidRPr="00EC63D8">
        <w:rPr>
          <w:rFonts w:hint="cs"/>
          <w:sz w:val="28"/>
          <w:szCs w:val="28"/>
          <w:rtl/>
        </w:rPr>
        <w:t>ال مدة أقصاها (24) ساعة</w:t>
      </w:r>
      <w:r w:rsidR="00612E8C" w:rsidRPr="00EC63D8">
        <w:rPr>
          <w:rFonts w:hint="cs"/>
          <w:sz w:val="28"/>
          <w:szCs w:val="28"/>
          <w:rtl/>
        </w:rPr>
        <w:t xml:space="preserve"> من وقت تبليغه الطلب وتمدد إلى فترة زمنية يكون حدها الأقصى (48) ساعة أخرى بموافقة </w:t>
      </w:r>
      <w:r w:rsidRPr="00EC63D8">
        <w:rPr>
          <w:rFonts w:hint="cs"/>
          <w:sz w:val="28"/>
          <w:szCs w:val="28"/>
          <w:rtl/>
        </w:rPr>
        <w:t xml:space="preserve">المؤسسة </w:t>
      </w:r>
      <w:r w:rsidR="00612E8C" w:rsidRPr="00EC63D8">
        <w:rPr>
          <w:rFonts w:hint="cs"/>
          <w:sz w:val="28"/>
          <w:szCs w:val="28"/>
          <w:rtl/>
        </w:rPr>
        <w:t xml:space="preserve"> ويتم في هذه الحالة تأمين </w:t>
      </w:r>
      <w:r w:rsidR="00EC63D8" w:rsidRPr="00EC63D8">
        <w:rPr>
          <w:rFonts w:hint="cs"/>
          <w:sz w:val="28"/>
          <w:szCs w:val="28"/>
          <w:rtl/>
        </w:rPr>
        <w:t>أ</w:t>
      </w:r>
      <w:r w:rsidR="00612E8C" w:rsidRPr="00EC63D8">
        <w:rPr>
          <w:rFonts w:hint="cs"/>
          <w:sz w:val="28"/>
          <w:szCs w:val="28"/>
          <w:rtl/>
        </w:rPr>
        <w:t>جهزة بديلة مماثلة أو أفضل من الأجهزة الم</w:t>
      </w:r>
      <w:r w:rsidR="00C0595C" w:rsidRPr="00EC63D8">
        <w:rPr>
          <w:rFonts w:hint="cs"/>
          <w:sz w:val="28"/>
          <w:szCs w:val="28"/>
          <w:rtl/>
        </w:rPr>
        <w:t>ت</w:t>
      </w:r>
      <w:r w:rsidR="00612E8C" w:rsidRPr="00EC63D8">
        <w:rPr>
          <w:rFonts w:hint="cs"/>
          <w:sz w:val="28"/>
          <w:szCs w:val="28"/>
          <w:rtl/>
        </w:rPr>
        <w:t>عطلة بدون مقابل</w:t>
      </w:r>
      <w:r w:rsidR="00C0595C" w:rsidRPr="00EC63D8">
        <w:rPr>
          <w:rFonts w:hint="cs"/>
          <w:sz w:val="28"/>
          <w:szCs w:val="28"/>
          <w:rtl/>
        </w:rPr>
        <w:t xml:space="preserve"> بحيث</w:t>
      </w:r>
      <w:r w:rsidR="00612E8C" w:rsidRPr="00EC63D8">
        <w:rPr>
          <w:rFonts w:hint="cs"/>
          <w:sz w:val="28"/>
          <w:szCs w:val="28"/>
          <w:rtl/>
        </w:rPr>
        <w:t xml:space="preserve"> تقوم</w:t>
      </w:r>
      <w:r w:rsidR="00C0595C" w:rsidRPr="00EC63D8">
        <w:rPr>
          <w:rFonts w:hint="cs"/>
          <w:sz w:val="28"/>
          <w:szCs w:val="28"/>
          <w:rtl/>
        </w:rPr>
        <w:t xml:space="preserve"> هذه الأجهزة</w:t>
      </w:r>
      <w:r w:rsidR="00612E8C" w:rsidRPr="00EC63D8">
        <w:rPr>
          <w:rFonts w:hint="cs"/>
          <w:sz w:val="28"/>
          <w:szCs w:val="28"/>
          <w:rtl/>
        </w:rPr>
        <w:t xml:space="preserve"> بالعمل مؤقتاً ليتمكن </w:t>
      </w:r>
      <w:r w:rsidRPr="00EC63D8">
        <w:rPr>
          <w:rFonts w:hint="cs"/>
          <w:sz w:val="28"/>
          <w:szCs w:val="28"/>
          <w:rtl/>
        </w:rPr>
        <w:t xml:space="preserve">المؤسسة </w:t>
      </w:r>
      <w:r w:rsidR="00612E8C" w:rsidRPr="00EC63D8">
        <w:rPr>
          <w:rFonts w:hint="cs"/>
          <w:sz w:val="28"/>
          <w:szCs w:val="28"/>
          <w:rtl/>
        </w:rPr>
        <w:t xml:space="preserve"> </w:t>
      </w:r>
      <w:r w:rsidR="00143063" w:rsidRPr="00EC63D8">
        <w:rPr>
          <w:rFonts w:hint="cs"/>
          <w:sz w:val="28"/>
          <w:szCs w:val="28"/>
          <w:rtl/>
        </w:rPr>
        <w:t xml:space="preserve">العامة للغذاء و الدواء </w:t>
      </w:r>
      <w:r w:rsidR="00612E8C" w:rsidRPr="00EC63D8">
        <w:rPr>
          <w:rFonts w:hint="cs"/>
          <w:sz w:val="28"/>
          <w:szCs w:val="28"/>
          <w:rtl/>
        </w:rPr>
        <w:t>من إنجاز عمله ريثما يتم إصلاح أجهزته المتعطلة.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612E8C" w:rsidRDefault="00612E8C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EC63D8">
        <w:rPr>
          <w:rFonts w:hint="cs"/>
          <w:sz w:val="28"/>
          <w:szCs w:val="28"/>
          <w:rtl/>
        </w:rPr>
        <w:t xml:space="preserve">في حالة حصول عطل شامل ومتواصل لأي جهاز وعدم تمكن مستخدمي </w:t>
      </w:r>
      <w:r w:rsidR="00CE0CAE" w:rsidRPr="00EC63D8">
        <w:rPr>
          <w:sz w:val="28"/>
          <w:szCs w:val="28"/>
          <w:rtl/>
        </w:rPr>
        <w:t xml:space="preserve">الشركة المحال عليها </w:t>
      </w:r>
      <w:r w:rsidRPr="00EC63D8">
        <w:rPr>
          <w:rFonts w:hint="cs"/>
          <w:sz w:val="28"/>
          <w:szCs w:val="28"/>
          <w:rtl/>
        </w:rPr>
        <w:t>من إصلاح ذلك العطل رغم مرور (</w:t>
      </w:r>
      <w:r w:rsidR="0049429E" w:rsidRPr="00EC63D8">
        <w:rPr>
          <w:rFonts w:hint="cs"/>
          <w:sz w:val="28"/>
          <w:szCs w:val="28"/>
          <w:rtl/>
        </w:rPr>
        <w:t>72</w:t>
      </w:r>
      <w:r w:rsidRPr="00EC63D8">
        <w:rPr>
          <w:rFonts w:hint="cs"/>
          <w:sz w:val="28"/>
          <w:szCs w:val="28"/>
          <w:rtl/>
        </w:rPr>
        <w:t xml:space="preserve">) ساعة فعندها </w:t>
      </w:r>
      <w:r w:rsidR="00CE0CAE" w:rsidRPr="00EC63D8">
        <w:rPr>
          <w:sz w:val="28"/>
          <w:szCs w:val="28"/>
          <w:rtl/>
        </w:rPr>
        <w:t xml:space="preserve">تلتزم الشركة المحال عليها </w:t>
      </w:r>
      <w:r w:rsidRPr="00EC63D8">
        <w:rPr>
          <w:rFonts w:hint="cs"/>
          <w:sz w:val="28"/>
          <w:szCs w:val="28"/>
          <w:rtl/>
        </w:rPr>
        <w:t xml:space="preserve">بإحضار الخبراء من الشركة الصانعة ويشمل ذلك ما يحتاجونه من معدات تغيير وإصلاح وعلى نفقة </w:t>
      </w:r>
      <w:r w:rsidR="001847A2" w:rsidRPr="00EC63D8">
        <w:rPr>
          <w:sz w:val="28"/>
          <w:szCs w:val="28"/>
          <w:rtl/>
        </w:rPr>
        <w:t>الشركة المحال عليها</w:t>
      </w:r>
      <w:r w:rsidRPr="00EC63D8">
        <w:rPr>
          <w:rFonts w:hint="cs"/>
          <w:sz w:val="28"/>
          <w:szCs w:val="28"/>
          <w:rtl/>
        </w:rPr>
        <w:t>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612E8C" w:rsidRDefault="00612E8C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9D0709">
        <w:rPr>
          <w:rFonts w:hint="cs"/>
          <w:sz w:val="28"/>
          <w:szCs w:val="28"/>
          <w:rtl/>
        </w:rPr>
        <w:t xml:space="preserve">يعتبر الجهاز الذي يتم صيانته وإصلاحه بأنه بحكم الصالح ويعطى كافة المعلومات المطلوبة منه ما لم يرد خلال أسبوع عمل رسمي من وقت إصلاحه طلب آخر من </w:t>
      </w:r>
      <w:r w:rsidR="00F57EB2">
        <w:rPr>
          <w:rFonts w:hint="cs"/>
          <w:sz w:val="28"/>
          <w:szCs w:val="28"/>
          <w:rtl/>
        </w:rPr>
        <w:t>المؤسسة</w:t>
      </w:r>
      <w:r w:rsidRPr="009D0709">
        <w:rPr>
          <w:rFonts w:hint="cs"/>
          <w:sz w:val="28"/>
          <w:szCs w:val="28"/>
          <w:rtl/>
        </w:rPr>
        <w:t xml:space="preserve"> </w:t>
      </w:r>
      <w:r w:rsidR="000242E8">
        <w:rPr>
          <w:rFonts w:hint="cs"/>
          <w:sz w:val="28"/>
          <w:szCs w:val="28"/>
          <w:rtl/>
        </w:rPr>
        <w:t>ل</w:t>
      </w:r>
      <w:r w:rsidR="00F57EB2" w:rsidRPr="00F57EB2">
        <w:rPr>
          <w:sz w:val="28"/>
          <w:szCs w:val="28"/>
          <w:rtl/>
        </w:rPr>
        <w:t xml:space="preserve">لشركة المحال عليها </w:t>
      </w:r>
      <w:r w:rsidRPr="009D0709">
        <w:rPr>
          <w:rFonts w:hint="cs"/>
          <w:sz w:val="28"/>
          <w:szCs w:val="28"/>
          <w:rtl/>
        </w:rPr>
        <w:t xml:space="preserve">بصيانته. 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612E8C" w:rsidRDefault="00A726DE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A726DE">
        <w:rPr>
          <w:sz w:val="28"/>
          <w:szCs w:val="28"/>
          <w:rtl/>
        </w:rPr>
        <w:t xml:space="preserve">تلتزم الشركة المحال عليها </w:t>
      </w:r>
      <w:r w:rsidR="00612E8C" w:rsidRPr="009D0709">
        <w:rPr>
          <w:rFonts w:hint="cs"/>
          <w:sz w:val="28"/>
          <w:szCs w:val="28"/>
          <w:rtl/>
        </w:rPr>
        <w:t>بزيارة دورية بواقع مرة واحدة كل 3 شهور لكل موقع وإجراء أعمال الصيانة الوقائية اللازمة على الأجهزة للتأكد من كفاءة عملها وبشكل يضمن سير</w:t>
      </w:r>
      <w:r w:rsidR="00C0595C">
        <w:rPr>
          <w:rFonts w:hint="cs"/>
          <w:sz w:val="28"/>
          <w:szCs w:val="28"/>
          <w:rtl/>
        </w:rPr>
        <w:t xml:space="preserve"> </w:t>
      </w:r>
      <w:r w:rsidR="00612E8C" w:rsidRPr="009D0709">
        <w:rPr>
          <w:rFonts w:hint="cs"/>
          <w:sz w:val="28"/>
          <w:szCs w:val="28"/>
          <w:rtl/>
        </w:rPr>
        <w:t>عملها بصورة مستمرة، وتحدد مواعيد الصيانة الوقائية بجدول زمني يتفق عليه الفريقان.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C0595C" w:rsidRDefault="00612E8C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C0595C">
        <w:rPr>
          <w:rFonts w:hint="cs"/>
          <w:sz w:val="28"/>
          <w:szCs w:val="28"/>
          <w:rtl/>
        </w:rPr>
        <w:t>يتم تقديم وثيقة صيانة تحتوي على تفاصيل الصيانة التي تمت على الأجهزة أو وثيقة تفصل الدعم الفني الذي تم.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C0595C" w:rsidRDefault="00A726DE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C0595C">
        <w:rPr>
          <w:sz w:val="28"/>
          <w:szCs w:val="28"/>
          <w:rtl/>
        </w:rPr>
        <w:t xml:space="preserve">تلتزم الشركة المحال عليها </w:t>
      </w:r>
      <w:r w:rsidR="00612E8C" w:rsidRPr="00C0595C">
        <w:rPr>
          <w:rFonts w:hint="cs"/>
          <w:sz w:val="28"/>
          <w:szCs w:val="28"/>
          <w:rtl/>
        </w:rPr>
        <w:t>بتوفير جميع قطع الغيار للمواد المشمولة بالصيانة في مستودعاته لصيانة الأجهزة وإدامة عملها.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C0595C" w:rsidRDefault="009D0709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C0595C">
        <w:rPr>
          <w:rFonts w:hint="cs"/>
          <w:sz w:val="28"/>
          <w:szCs w:val="28"/>
          <w:rtl/>
        </w:rPr>
        <w:t xml:space="preserve">على </w:t>
      </w:r>
      <w:r w:rsidR="00A726DE" w:rsidRPr="00C0595C">
        <w:rPr>
          <w:sz w:val="28"/>
          <w:szCs w:val="28"/>
          <w:rtl/>
        </w:rPr>
        <w:t xml:space="preserve">الشركة المحال عليها </w:t>
      </w:r>
      <w:r w:rsidRPr="00C0595C">
        <w:rPr>
          <w:rFonts w:hint="cs"/>
          <w:sz w:val="28"/>
          <w:szCs w:val="28"/>
          <w:rtl/>
        </w:rPr>
        <w:t>بعد إتمام أي عمل ترك الموقع الذي تم فيه إنجاز العمل كما كان في حالته الأصلية.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C0595C" w:rsidRDefault="00446B48" w:rsidP="00F51AF6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C0595C">
        <w:rPr>
          <w:rFonts w:hint="cs"/>
          <w:sz w:val="28"/>
          <w:szCs w:val="28"/>
          <w:rtl/>
        </w:rPr>
        <w:t>تلتزم الشركة بصيانة و ادامة عمل جميع</w:t>
      </w:r>
      <w:r w:rsidR="00932CCF">
        <w:rPr>
          <w:rFonts w:hint="cs"/>
          <w:sz w:val="28"/>
          <w:szCs w:val="28"/>
          <w:rtl/>
        </w:rPr>
        <w:t xml:space="preserve"> الـ</w:t>
      </w:r>
      <w:r w:rsidRPr="00C0595C">
        <w:rPr>
          <w:rFonts w:hint="cs"/>
          <w:sz w:val="28"/>
          <w:szCs w:val="28"/>
          <w:rtl/>
        </w:rPr>
        <w:t xml:space="preserve">  </w:t>
      </w:r>
      <w:r w:rsidRPr="00C0595C">
        <w:rPr>
          <w:sz w:val="28"/>
          <w:szCs w:val="28"/>
        </w:rPr>
        <w:t xml:space="preserve">virtual machines </w:t>
      </w:r>
      <w:r w:rsidRPr="00C0595C">
        <w:rPr>
          <w:rFonts w:hint="cs"/>
          <w:sz w:val="28"/>
          <w:szCs w:val="28"/>
          <w:rtl/>
        </w:rPr>
        <w:t xml:space="preserve"> </w:t>
      </w:r>
      <w:r w:rsidR="00932CCF">
        <w:rPr>
          <w:rFonts w:hint="cs"/>
          <w:sz w:val="28"/>
          <w:szCs w:val="28"/>
          <w:rtl/>
        </w:rPr>
        <w:t xml:space="preserve">والحفاظ على أداءها </w:t>
      </w:r>
      <w:r w:rsidRPr="00C0595C">
        <w:rPr>
          <w:rFonts w:hint="cs"/>
          <w:sz w:val="28"/>
          <w:szCs w:val="28"/>
          <w:rtl/>
        </w:rPr>
        <w:t>بكفاءة</w:t>
      </w:r>
      <w:r w:rsidR="00932CCF">
        <w:rPr>
          <w:rFonts w:hint="cs"/>
          <w:sz w:val="28"/>
          <w:szCs w:val="28"/>
          <w:rtl/>
        </w:rPr>
        <w:t>.</w:t>
      </w:r>
    </w:p>
    <w:p w:rsidR="00F51AF6" w:rsidRPr="00F51AF6" w:rsidRDefault="00F51AF6" w:rsidP="00F51AF6">
      <w:pPr>
        <w:bidi/>
        <w:spacing w:line="276" w:lineRule="auto"/>
        <w:jc w:val="both"/>
        <w:rPr>
          <w:sz w:val="28"/>
          <w:szCs w:val="28"/>
          <w:rtl/>
        </w:rPr>
      </w:pPr>
    </w:p>
    <w:p w:rsidR="00C17957" w:rsidRDefault="00446B48" w:rsidP="00A25894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 w:rsidRPr="00C0595C">
        <w:rPr>
          <w:rFonts w:hint="cs"/>
          <w:sz w:val="28"/>
          <w:szCs w:val="28"/>
          <w:rtl/>
        </w:rPr>
        <w:t xml:space="preserve">تلتزم الشركة باصلاح و تنزيل جميع  </w:t>
      </w:r>
      <w:r w:rsidRPr="00C0595C">
        <w:rPr>
          <w:sz w:val="28"/>
          <w:szCs w:val="28"/>
        </w:rPr>
        <w:t xml:space="preserve">ESXI patches </w:t>
      </w:r>
      <w:r w:rsidRPr="00C0595C">
        <w:rPr>
          <w:rFonts w:hint="cs"/>
          <w:sz w:val="28"/>
          <w:szCs w:val="28"/>
          <w:rtl/>
        </w:rPr>
        <w:t xml:space="preserve"> </w:t>
      </w:r>
      <w:r w:rsidR="0034597A" w:rsidRPr="00C0595C">
        <w:rPr>
          <w:rFonts w:hint="cs"/>
          <w:sz w:val="28"/>
          <w:szCs w:val="28"/>
          <w:rtl/>
        </w:rPr>
        <w:t xml:space="preserve">حسب الحاجة </w:t>
      </w:r>
      <w:r w:rsidRPr="00C0595C">
        <w:rPr>
          <w:rFonts w:hint="cs"/>
          <w:sz w:val="28"/>
          <w:szCs w:val="28"/>
          <w:rtl/>
        </w:rPr>
        <w:t xml:space="preserve">و اعادة تشغيل النظام </w:t>
      </w:r>
      <w:r w:rsidR="00141489" w:rsidRPr="00C0595C">
        <w:rPr>
          <w:rFonts w:hint="cs"/>
          <w:sz w:val="28"/>
          <w:szCs w:val="28"/>
          <w:rtl/>
        </w:rPr>
        <w:t xml:space="preserve"> و عودة النظام كما كان مسبقا</w:t>
      </w:r>
      <w:r w:rsidR="00F667BE">
        <w:rPr>
          <w:rFonts w:hint="cs"/>
          <w:sz w:val="28"/>
          <w:szCs w:val="28"/>
          <w:rtl/>
        </w:rPr>
        <w:t>.</w:t>
      </w:r>
    </w:p>
    <w:p w:rsidR="00A25894" w:rsidRPr="00A25894" w:rsidRDefault="00A25894" w:rsidP="00A25894">
      <w:pPr>
        <w:pStyle w:val="ListParagraph"/>
        <w:rPr>
          <w:sz w:val="28"/>
          <w:szCs w:val="28"/>
          <w:rtl/>
        </w:rPr>
      </w:pPr>
    </w:p>
    <w:p w:rsidR="001C7603" w:rsidRDefault="001C7603" w:rsidP="008540B1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يشترط تقديم كفالة صيانة بنسبة 3% من قيمة العقد.</w:t>
      </w:r>
    </w:p>
    <w:p w:rsidR="001C7603" w:rsidRPr="001C7603" w:rsidRDefault="001C7603" w:rsidP="001C7603">
      <w:pPr>
        <w:pStyle w:val="ListParagraph"/>
        <w:rPr>
          <w:rFonts w:hint="cs"/>
          <w:sz w:val="28"/>
          <w:szCs w:val="28"/>
          <w:rtl/>
        </w:rPr>
      </w:pPr>
    </w:p>
    <w:p w:rsidR="00A25894" w:rsidRPr="00F667BE" w:rsidRDefault="00A25894" w:rsidP="001C7603">
      <w:pPr>
        <w:pStyle w:val="ListParagraph"/>
        <w:numPr>
          <w:ilvl w:val="0"/>
          <w:numId w:val="5"/>
        </w:numPr>
        <w:bidi/>
        <w:spacing w:line="276" w:lineRule="auto"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تتم الإحالة إستنادا إلى نص المادة 29 من 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تعليمات تنظيم اجراءات المشتريات الحكومية لسنة </w:t>
      </w:r>
      <w:r w:rsidR="008540B1">
        <w:rPr>
          <w:rFonts w:hint="cs"/>
          <w:sz w:val="28"/>
          <w:szCs w:val="28"/>
          <w:rtl/>
        </w:rPr>
        <w:t>2022</w:t>
      </w:r>
      <w:r>
        <w:rPr>
          <w:rFonts w:hint="cs"/>
          <w:sz w:val="28"/>
          <w:szCs w:val="28"/>
          <w:rtl/>
        </w:rPr>
        <w:t>.</w:t>
      </w:r>
    </w:p>
    <w:sectPr w:rsidR="00A25894" w:rsidRPr="00F667BE" w:rsidSect="0084218E">
      <w:pgSz w:w="12240" w:h="15840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6BA"/>
    <w:multiLevelType w:val="hybridMultilevel"/>
    <w:tmpl w:val="AD8C5D5A"/>
    <w:lvl w:ilvl="0" w:tplc="40FC58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2780"/>
    <w:multiLevelType w:val="hybridMultilevel"/>
    <w:tmpl w:val="5862061C"/>
    <w:lvl w:ilvl="0" w:tplc="40FC58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149B"/>
    <w:multiLevelType w:val="multilevel"/>
    <w:tmpl w:val="AD8C5D5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461E9"/>
    <w:multiLevelType w:val="hybridMultilevel"/>
    <w:tmpl w:val="CDD2B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C45C7A"/>
    <w:multiLevelType w:val="hybridMultilevel"/>
    <w:tmpl w:val="E5F816A0"/>
    <w:lvl w:ilvl="0" w:tplc="B0681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E02E8"/>
    <w:multiLevelType w:val="hybridMultilevel"/>
    <w:tmpl w:val="6B3C5F1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05B1"/>
    <w:multiLevelType w:val="hybridMultilevel"/>
    <w:tmpl w:val="E3ACB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6AFB4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8C"/>
    <w:rsid w:val="000242E8"/>
    <w:rsid w:val="00103CE6"/>
    <w:rsid w:val="00106247"/>
    <w:rsid w:val="00141489"/>
    <w:rsid w:val="00143063"/>
    <w:rsid w:val="001847A2"/>
    <w:rsid w:val="001C7603"/>
    <w:rsid w:val="001F1FF8"/>
    <w:rsid w:val="0028550F"/>
    <w:rsid w:val="002E0E48"/>
    <w:rsid w:val="002E6D81"/>
    <w:rsid w:val="002E7DAD"/>
    <w:rsid w:val="00317A8C"/>
    <w:rsid w:val="0034597A"/>
    <w:rsid w:val="00357C78"/>
    <w:rsid w:val="003830D1"/>
    <w:rsid w:val="00446B48"/>
    <w:rsid w:val="0049429E"/>
    <w:rsid w:val="00575762"/>
    <w:rsid w:val="005A43B4"/>
    <w:rsid w:val="00612E8C"/>
    <w:rsid w:val="00622F31"/>
    <w:rsid w:val="006C377E"/>
    <w:rsid w:val="00712E5C"/>
    <w:rsid w:val="007549ED"/>
    <w:rsid w:val="0084218E"/>
    <w:rsid w:val="008540B1"/>
    <w:rsid w:val="00897501"/>
    <w:rsid w:val="00930AD5"/>
    <w:rsid w:val="00932CCF"/>
    <w:rsid w:val="009911D2"/>
    <w:rsid w:val="009B1AB7"/>
    <w:rsid w:val="009D0709"/>
    <w:rsid w:val="00A030CB"/>
    <w:rsid w:val="00A2513C"/>
    <w:rsid w:val="00A25894"/>
    <w:rsid w:val="00A45413"/>
    <w:rsid w:val="00A726DE"/>
    <w:rsid w:val="00B34EF0"/>
    <w:rsid w:val="00BD0B5E"/>
    <w:rsid w:val="00C0595C"/>
    <w:rsid w:val="00C17957"/>
    <w:rsid w:val="00C3122F"/>
    <w:rsid w:val="00C94EC3"/>
    <w:rsid w:val="00CE0CAE"/>
    <w:rsid w:val="00D770FF"/>
    <w:rsid w:val="00D83727"/>
    <w:rsid w:val="00EB4954"/>
    <w:rsid w:val="00EC63D8"/>
    <w:rsid w:val="00EE5C2E"/>
    <w:rsid w:val="00F51AF6"/>
    <w:rsid w:val="00F57EB2"/>
    <w:rsid w:val="00F65542"/>
    <w:rsid w:val="00F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9DF0"/>
  <w15:docId w15:val="{BC3FEF49-1C3D-4FA3-BF2C-5B9100DB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7A"/>
    <w:rPr>
      <w:rFonts w:ascii="Segoe UI" w:eastAsia="Times New Roman" w:hAnsi="Segoe UI" w:cs="Segoe UI"/>
      <w:sz w:val="18"/>
      <w:szCs w:val="18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suhad rabie</dc:creator>
  <cp:lastModifiedBy>khaled abumhamid</cp:lastModifiedBy>
  <cp:revision>3</cp:revision>
  <cp:lastPrinted>2022-10-23T11:29:00Z</cp:lastPrinted>
  <dcterms:created xsi:type="dcterms:W3CDTF">2024-04-25T11:40:00Z</dcterms:created>
  <dcterms:modified xsi:type="dcterms:W3CDTF">2025-06-25T11:32:00Z</dcterms:modified>
</cp:coreProperties>
</file>